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EF726" w14:textId="1B967D5C" w:rsidR="00713D6D" w:rsidRDefault="00713D6D" w:rsidP="00713D6D">
      <w:pPr>
        <w:pStyle w:val="CRCoverPage"/>
        <w:tabs>
          <w:tab w:val="right" w:pos="9639"/>
        </w:tabs>
        <w:spacing w:after="0"/>
        <w:rPr>
          <w:b/>
          <w:noProof/>
          <w:sz w:val="24"/>
        </w:rPr>
      </w:pPr>
      <w:r>
        <w:rPr>
          <w:b/>
          <w:noProof/>
          <w:sz w:val="24"/>
        </w:rPr>
        <w:t>3GPP TSG-CT</w:t>
      </w:r>
      <w:r>
        <w:rPr>
          <w:b/>
          <w:noProof/>
          <w:sz w:val="24"/>
        </w:rPr>
        <w:t>4</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Pr>
          <w:b/>
          <w:noProof/>
          <w:sz w:val="24"/>
        </w:rPr>
        <w:t>11</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w:t>
      </w:r>
      <w:r>
        <w:rPr>
          <w:b/>
          <w:noProof/>
          <w:sz w:val="24"/>
        </w:rPr>
        <w:t>4</w:t>
      </w:r>
      <w:r>
        <w:rPr>
          <w:b/>
          <w:noProof/>
          <w:sz w:val="24"/>
        </w:rPr>
        <w:t>-2244</w:t>
      </w:r>
      <w:r>
        <w:rPr>
          <w:b/>
          <w:noProof/>
          <w:sz w:val="24"/>
        </w:rPr>
        <w:t>10</w:t>
      </w:r>
      <w:r>
        <w:rPr>
          <w:b/>
          <w:noProof/>
          <w:sz w:val="24"/>
        </w:rPr>
        <w:fldChar w:fldCharType="begin"/>
      </w:r>
      <w:r>
        <w:rPr>
          <w:b/>
          <w:noProof/>
          <w:sz w:val="24"/>
        </w:rPr>
        <w:instrText xml:space="preserve"> DOCPROPERTY  Tdoc#  \* MERGEFORMAT </w:instrText>
      </w:r>
      <w:r>
        <w:rPr>
          <w:b/>
          <w:noProof/>
          <w:sz w:val="24"/>
        </w:rPr>
        <w:fldChar w:fldCharType="end"/>
      </w:r>
    </w:p>
    <w:p w14:paraId="764C69C8" w14:textId="77777777" w:rsidR="00713D6D" w:rsidRDefault="00713D6D" w:rsidP="00713D6D">
      <w:pPr>
        <w:pStyle w:val="CRCoverPage"/>
        <w:outlineLvl w:val="0"/>
        <w:rPr>
          <w:b/>
          <w:noProof/>
          <w:sz w:val="24"/>
        </w:rPr>
      </w:pPr>
      <w:r>
        <w:rPr>
          <w:b/>
          <w:noProof/>
          <w:sz w:val="24"/>
        </w:rPr>
        <w:t>E-Meeting, 18th – 26th August 2022</w:t>
      </w:r>
    </w:p>
    <w:p w14:paraId="2DF2B8E5" w14:textId="08096F16" w:rsidR="00FD4657" w:rsidRDefault="00FD4657" w:rsidP="00FD46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947245">
        <w:rPr>
          <w:b/>
          <w:noProof/>
          <w:sz w:val="24"/>
        </w:rPr>
        <w:t>3</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947245">
        <w:rPr>
          <w:b/>
          <w:noProof/>
          <w:sz w:val="24"/>
        </w:rPr>
        <w:t>4</w:t>
      </w:r>
      <w:r w:rsidR="000F6ECE">
        <w:rPr>
          <w:b/>
          <w:noProof/>
          <w:sz w:val="24"/>
        </w:rPr>
        <w:t>496</w:t>
      </w:r>
      <w:r>
        <w:rPr>
          <w:b/>
          <w:noProof/>
          <w:sz w:val="24"/>
        </w:rPr>
        <w:fldChar w:fldCharType="begin"/>
      </w:r>
      <w:r>
        <w:rPr>
          <w:b/>
          <w:noProof/>
          <w:sz w:val="24"/>
        </w:rPr>
        <w:instrText xml:space="preserve"> DOCPROPERTY  Tdoc#  \* MERGEFORMAT </w:instrText>
      </w:r>
      <w:r>
        <w:rPr>
          <w:b/>
          <w:noProof/>
          <w:sz w:val="24"/>
        </w:rPr>
        <w:fldChar w:fldCharType="end"/>
      </w:r>
    </w:p>
    <w:p w14:paraId="6BA7CBBD" w14:textId="2DE84C4B" w:rsidR="00EA68B1" w:rsidRDefault="00FD4657" w:rsidP="00FD4657">
      <w:pPr>
        <w:pStyle w:val="CRCoverPage"/>
        <w:outlineLvl w:val="0"/>
        <w:rPr>
          <w:b/>
          <w:noProof/>
          <w:sz w:val="24"/>
        </w:rPr>
      </w:pPr>
      <w:r>
        <w:rPr>
          <w:b/>
          <w:noProof/>
          <w:sz w:val="24"/>
        </w:rPr>
        <w:t xml:space="preserve">E-Meeting, </w:t>
      </w:r>
      <w:r w:rsidR="00E95737">
        <w:rPr>
          <w:b/>
          <w:noProof/>
          <w:sz w:val="24"/>
        </w:rPr>
        <w:t>1</w:t>
      </w:r>
      <w:r w:rsidR="00947245">
        <w:rPr>
          <w:b/>
          <w:noProof/>
          <w:sz w:val="24"/>
        </w:rPr>
        <w:t>8</w:t>
      </w:r>
      <w:r>
        <w:rPr>
          <w:b/>
          <w:noProof/>
          <w:sz w:val="24"/>
        </w:rPr>
        <w:t xml:space="preserve">th – </w:t>
      </w:r>
      <w:r w:rsidR="00E95737">
        <w:rPr>
          <w:b/>
          <w:noProof/>
          <w:sz w:val="24"/>
        </w:rPr>
        <w:t>2</w:t>
      </w:r>
      <w:r w:rsidR="00947245">
        <w:rPr>
          <w:b/>
          <w:noProof/>
          <w:sz w:val="24"/>
        </w:rPr>
        <w:t>6</w:t>
      </w:r>
      <w:r>
        <w:rPr>
          <w:b/>
          <w:noProof/>
          <w:sz w:val="24"/>
        </w:rPr>
        <w:t xml:space="preserve">th </w:t>
      </w:r>
      <w:r w:rsidR="00947245">
        <w:rPr>
          <w:b/>
          <w:noProof/>
          <w:sz w:val="24"/>
        </w:rPr>
        <w:t>August</w:t>
      </w:r>
      <w:r>
        <w:rPr>
          <w:b/>
          <w:noProof/>
          <w:sz w:val="24"/>
        </w:rPr>
        <w:t xml:space="preserve">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2E2F7AC2" w:rsidR="00463675" w:rsidRPr="000F4E43" w:rsidRDefault="00463675" w:rsidP="000F4E43">
      <w:pPr>
        <w:pStyle w:val="Title"/>
      </w:pPr>
      <w:r w:rsidRPr="000F4E43">
        <w:t>Title:</w:t>
      </w:r>
      <w:r w:rsidRPr="000F4E43">
        <w:tab/>
      </w:r>
      <w:r w:rsidR="00A154EE">
        <w:rPr>
          <w:color w:val="000000"/>
          <w:lang w:val="en-US"/>
        </w:rPr>
        <w:t xml:space="preserve">LS on </w:t>
      </w:r>
      <w:r w:rsidR="00C91A97">
        <w:t>n</w:t>
      </w:r>
      <w:r w:rsidR="00A154EE">
        <w:t>egotiation of supported features when subscription to notifications occurs via an indirect path</w:t>
      </w:r>
    </w:p>
    <w:p w14:paraId="65004854" w14:textId="4303F09A" w:rsidR="00463675" w:rsidRPr="000F4E43" w:rsidRDefault="00463675" w:rsidP="000F4E43">
      <w:pPr>
        <w:pStyle w:val="Title"/>
      </w:pPr>
      <w:r w:rsidRPr="000F4E43">
        <w:t>Response to:</w:t>
      </w:r>
      <w:r w:rsidRPr="000F4E43">
        <w:tab/>
      </w:r>
      <w:r w:rsidR="00A154EE">
        <w:t>-</w:t>
      </w:r>
    </w:p>
    <w:p w14:paraId="56E3B846" w14:textId="7A43F066" w:rsidR="00463675" w:rsidRPr="000F4E43" w:rsidRDefault="00463675" w:rsidP="000F4E43">
      <w:pPr>
        <w:pStyle w:val="Title"/>
      </w:pPr>
      <w:r w:rsidRPr="000F4E43">
        <w:t>Release:</w:t>
      </w:r>
      <w:r w:rsidRPr="000F4E43">
        <w:tab/>
      </w:r>
      <w:r w:rsidR="00F07446">
        <w:rPr>
          <w:color w:val="000000"/>
        </w:rPr>
        <w:t>Release 17</w:t>
      </w:r>
    </w:p>
    <w:p w14:paraId="792135A2" w14:textId="17343244" w:rsidR="00463675" w:rsidRPr="000F4E43" w:rsidRDefault="00463675" w:rsidP="000F4E43">
      <w:pPr>
        <w:pStyle w:val="Title"/>
      </w:pPr>
      <w:r w:rsidRPr="000F4E43">
        <w:t>Work Item:</w:t>
      </w:r>
      <w:r w:rsidRPr="000F4E43">
        <w:tab/>
      </w:r>
      <w:r w:rsidR="00A154EE">
        <w:rPr>
          <w:color w:val="000000"/>
        </w:rPr>
        <w:t>eEDGE_5GC</w:t>
      </w:r>
    </w:p>
    <w:p w14:paraId="0A1390C0" w14:textId="77777777" w:rsidR="00463675" w:rsidRPr="000F4E43" w:rsidRDefault="00463675">
      <w:pPr>
        <w:spacing w:after="60"/>
        <w:ind w:left="1985" w:hanging="1985"/>
        <w:rPr>
          <w:rFonts w:ascii="Arial" w:hAnsi="Arial" w:cs="Arial"/>
          <w:b/>
        </w:rPr>
      </w:pPr>
    </w:p>
    <w:p w14:paraId="2BA4C3D5" w14:textId="531CC8A0" w:rsidR="00463675" w:rsidRPr="00174F8E" w:rsidRDefault="00463675" w:rsidP="000F4E43">
      <w:pPr>
        <w:pStyle w:val="Source"/>
        <w:rPr>
          <w:bCs/>
          <w:color w:val="000000"/>
        </w:rPr>
      </w:pPr>
      <w:r w:rsidRPr="00174F8E">
        <w:t>Source:</w:t>
      </w:r>
      <w:r w:rsidRPr="00174F8E">
        <w:tab/>
      </w:r>
      <w:r w:rsidR="00F07446" w:rsidRPr="00174F8E">
        <w:rPr>
          <w:bCs/>
          <w:color w:val="000000"/>
        </w:rPr>
        <w:t>CT</w:t>
      </w:r>
      <w:r w:rsidR="009C0C06" w:rsidRPr="00174F8E">
        <w:rPr>
          <w:bCs/>
          <w:color w:val="000000"/>
        </w:rPr>
        <w:t>3</w:t>
      </w:r>
    </w:p>
    <w:p w14:paraId="6AF9910D" w14:textId="0921A7FF" w:rsidR="00463675" w:rsidRPr="00174F8E" w:rsidRDefault="00463675" w:rsidP="000F4E43">
      <w:pPr>
        <w:pStyle w:val="Source"/>
        <w:rPr>
          <w:bCs/>
        </w:rPr>
      </w:pPr>
      <w:r w:rsidRPr="00174F8E">
        <w:rPr>
          <w:bCs/>
        </w:rPr>
        <w:t>To:</w:t>
      </w:r>
      <w:r w:rsidRPr="00174F8E">
        <w:rPr>
          <w:bCs/>
        </w:rPr>
        <w:tab/>
      </w:r>
      <w:r w:rsidR="00A154EE">
        <w:rPr>
          <w:bCs/>
          <w:color w:val="000000"/>
        </w:rPr>
        <w:t>CT4</w:t>
      </w:r>
    </w:p>
    <w:p w14:paraId="033E954A" w14:textId="6DB510A5" w:rsidR="00463675" w:rsidRPr="00174F8E" w:rsidRDefault="00463675" w:rsidP="000F4E43">
      <w:pPr>
        <w:pStyle w:val="Source"/>
        <w:rPr>
          <w:bCs/>
        </w:rPr>
      </w:pPr>
      <w:r w:rsidRPr="00174F8E">
        <w:rPr>
          <w:bCs/>
        </w:rPr>
        <w:t>Cc:</w:t>
      </w:r>
      <w:r w:rsidRPr="00174F8E">
        <w:rPr>
          <w:bCs/>
        </w:rPr>
        <w:tab/>
      </w:r>
    </w:p>
    <w:p w14:paraId="12F1EB36" w14:textId="77777777" w:rsidR="00463675" w:rsidRPr="00174F8E"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797D1FAF" w:rsidR="004055D4" w:rsidRPr="000F6ECE" w:rsidRDefault="004055D4" w:rsidP="004055D4">
      <w:pPr>
        <w:pStyle w:val="Contact"/>
        <w:tabs>
          <w:tab w:val="clear" w:pos="2268"/>
        </w:tabs>
        <w:rPr>
          <w:bCs/>
          <w:lang w:val="en-US"/>
        </w:rPr>
      </w:pPr>
      <w:r w:rsidRPr="000F6ECE">
        <w:rPr>
          <w:lang w:val="en-US"/>
        </w:rPr>
        <w:t>Name:</w:t>
      </w:r>
      <w:r w:rsidRPr="000F6ECE">
        <w:rPr>
          <w:bCs/>
          <w:lang w:val="en-US"/>
        </w:rPr>
        <w:tab/>
      </w:r>
      <w:r w:rsidR="00A154EE" w:rsidRPr="000F6ECE">
        <w:rPr>
          <w:bCs/>
          <w:lang w:val="en-US"/>
        </w:rPr>
        <w:t>Susana Fernández</w:t>
      </w:r>
    </w:p>
    <w:p w14:paraId="5C8B60A0" w14:textId="73B6018D" w:rsidR="004055D4" w:rsidRPr="000F6ECE" w:rsidRDefault="004055D4" w:rsidP="004055D4">
      <w:pPr>
        <w:pStyle w:val="Contact"/>
        <w:tabs>
          <w:tab w:val="clear" w:pos="2268"/>
        </w:tabs>
        <w:rPr>
          <w:bCs/>
          <w:color w:val="0000FF"/>
          <w:lang w:val="en-US"/>
        </w:rPr>
      </w:pPr>
      <w:r w:rsidRPr="000F6ECE">
        <w:rPr>
          <w:color w:val="0000FF"/>
          <w:lang w:val="en-US"/>
        </w:rPr>
        <w:t>E-mail Address:</w:t>
      </w:r>
      <w:r w:rsidRPr="000F6ECE">
        <w:rPr>
          <w:bCs/>
          <w:color w:val="0000FF"/>
          <w:lang w:val="en-US"/>
        </w:rPr>
        <w:tab/>
      </w:r>
      <w:r w:rsidR="00A154EE" w:rsidRPr="000F6ECE">
        <w:rPr>
          <w:bCs/>
          <w:color w:val="0000FF"/>
          <w:lang w:val="en-US"/>
        </w:rPr>
        <w:t>susana</w:t>
      </w:r>
      <w:r w:rsidRPr="000F6ECE">
        <w:rPr>
          <w:bCs/>
          <w:color w:val="0000FF"/>
          <w:lang w:val="en-US"/>
        </w:rPr>
        <w:t>.</w:t>
      </w:r>
      <w:r w:rsidR="00A154EE" w:rsidRPr="000F6ECE">
        <w:rPr>
          <w:bCs/>
          <w:color w:val="0000FF"/>
          <w:lang w:val="en-US"/>
        </w:rPr>
        <w:t>fernandez</w:t>
      </w:r>
      <w:r w:rsidRPr="000F6ECE">
        <w:rPr>
          <w:bCs/>
          <w:color w:val="0000FF"/>
          <w:lang w:val="en-US"/>
        </w:rPr>
        <w:t>@ericsson.com</w:t>
      </w:r>
    </w:p>
    <w:p w14:paraId="486A119D" w14:textId="77777777" w:rsidR="00463675" w:rsidRPr="000F6ECE"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35422B09" w:rsidR="00463675" w:rsidRPr="000F4E43" w:rsidRDefault="00463675" w:rsidP="000F4E43">
      <w:pPr>
        <w:pStyle w:val="Title"/>
      </w:pPr>
      <w:r w:rsidRPr="000F4E43">
        <w:t>Attachments:</w:t>
      </w:r>
      <w:r w:rsidRPr="000F4E43">
        <w:tab/>
      </w:r>
      <w:r w:rsidR="004B1509">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0FA1231" w14:textId="7AE84E9E" w:rsidR="004E3A2A" w:rsidRPr="000B1113" w:rsidRDefault="004E3A2A" w:rsidP="004E3A2A">
      <w:pPr>
        <w:pStyle w:val="IvDInstructiontext"/>
        <w:rPr>
          <w:rStyle w:val="IvDbodytextChar"/>
          <w:rFonts w:eastAsia="Calibri" w:cs="Calibri"/>
          <w:i w:val="0"/>
          <w:color w:val="auto"/>
          <w:sz w:val="20"/>
          <w:szCs w:val="20"/>
        </w:rPr>
      </w:pPr>
      <w:r w:rsidRPr="000B1113">
        <w:rPr>
          <w:rStyle w:val="IvDbodytextChar"/>
          <w:rFonts w:eastAsia="Calibri" w:cs="Calibri"/>
          <w:i w:val="0"/>
          <w:color w:val="auto"/>
          <w:sz w:val="20"/>
          <w:szCs w:val="20"/>
        </w:rPr>
        <w:t>CT3 has specified different procedures where the NF service provider subscribes to receive notifications using a different path than the one used in the requested notification. Some examples are:</w:t>
      </w:r>
    </w:p>
    <w:p w14:paraId="25A7CE9E" w14:textId="77777777" w:rsidR="004E3A2A" w:rsidRPr="000B1113" w:rsidRDefault="004E3A2A" w:rsidP="004E3A2A">
      <w:pPr>
        <w:pStyle w:val="IvDInstructiontext"/>
        <w:numPr>
          <w:ilvl w:val="0"/>
          <w:numId w:val="19"/>
        </w:numPr>
        <w:rPr>
          <w:rStyle w:val="IvDbodytextChar"/>
          <w:rFonts w:cs="Calibri"/>
          <w:sz w:val="20"/>
          <w:szCs w:val="20"/>
        </w:rPr>
      </w:pPr>
      <w:r w:rsidRPr="000B1113">
        <w:rPr>
          <w:rStyle w:val="IvDbodytextChar"/>
          <w:rFonts w:eastAsia="Calibri" w:cs="Calibri"/>
          <w:i w:val="0"/>
          <w:color w:val="auto"/>
          <w:sz w:val="20"/>
          <w:szCs w:val="20"/>
        </w:rPr>
        <w:t>AF may send requests to influence SMF routing decisions for User Plane traffic of PDU Sessions as described in 3GPP TS 29.513, clause 5.5.3. In this case the AF uses the PCC framework (either directly via PCF or using the NEF &amp; UDR when non targeting individual UE addresses) to indicate its subscriptions to SMF events, e.g. UP path change. SMF receives the subscription information provisioned in the PCC rule, i.e. the event and the AF/NEF notification URI. SMF will directly notify the AF (via NEF for external applications).</w:t>
      </w:r>
    </w:p>
    <w:p w14:paraId="31AE52E6" w14:textId="77777777" w:rsidR="004E3A2A" w:rsidRPr="000B1113" w:rsidRDefault="004E3A2A" w:rsidP="004E3A2A">
      <w:pPr>
        <w:pStyle w:val="IvDInstructiontext"/>
        <w:numPr>
          <w:ilvl w:val="0"/>
          <w:numId w:val="19"/>
        </w:numPr>
        <w:rPr>
          <w:rStyle w:val="IvDbodytextChar"/>
          <w:rFonts w:eastAsia="Calibri" w:cs="Calibri"/>
          <w:i w:val="0"/>
          <w:color w:val="auto"/>
          <w:sz w:val="20"/>
          <w:szCs w:val="20"/>
        </w:rPr>
      </w:pPr>
      <w:r w:rsidRPr="000B1113">
        <w:rPr>
          <w:rStyle w:val="IvDbodytextChar"/>
          <w:rFonts w:eastAsia="Calibri" w:cs="Calibri"/>
          <w:i w:val="0"/>
          <w:color w:val="auto"/>
          <w:sz w:val="20"/>
          <w:szCs w:val="20"/>
        </w:rPr>
        <w:t>AF may provision service parameter data to the PCF that could generate URSP Rules towards the UE as described in 3GPP TS 29.513, clause 5.5.8. Additionally, the AF may subscribe to receive notifications on URSP Rules delivery outcome. The AF subscription is indicated to the PCF as service parameter data stored in the UDR, i.e., the service parameter data provisioned in UDR includes the event and the AF/NEF notification URI.</w:t>
      </w:r>
    </w:p>
    <w:p w14:paraId="621FB5DB" w14:textId="21AE7363" w:rsidR="000B1AB8" w:rsidRPr="000B1113" w:rsidRDefault="004E3A2A" w:rsidP="000B1AB8">
      <w:pPr>
        <w:pStyle w:val="IvDInstructiontext"/>
        <w:rPr>
          <w:rStyle w:val="IvDbodytextChar"/>
          <w:rFonts w:eastAsia="Calibri" w:cs="Calibri"/>
          <w:i w:val="0"/>
          <w:iCs/>
          <w:color w:val="auto"/>
          <w:sz w:val="20"/>
          <w:szCs w:val="20"/>
        </w:rPr>
      </w:pPr>
      <w:r w:rsidRPr="000B1113">
        <w:rPr>
          <w:rStyle w:val="IvDbodytextChar"/>
          <w:rFonts w:eastAsia="Calibri" w:cs="Calibri"/>
          <w:i w:val="0"/>
          <w:color w:val="auto"/>
          <w:sz w:val="20"/>
          <w:szCs w:val="20"/>
        </w:rPr>
        <w:t>It is also possible that the NF service consumer needs to initiate a new notification as a response to the notification generated as a consequence of an indirect subscription (i.e. callback of the received notification).</w:t>
      </w:r>
    </w:p>
    <w:p w14:paraId="5FD3D7E4" w14:textId="3C1AD305" w:rsidR="000B1AB8" w:rsidRPr="000B1113" w:rsidRDefault="000B1AB8" w:rsidP="004E3A2A">
      <w:pPr>
        <w:pStyle w:val="IvDInstructiontext"/>
        <w:rPr>
          <w:rStyle w:val="IvDbodytextChar"/>
          <w:rFonts w:eastAsia="Calibri" w:cs="Calibri"/>
          <w:i w:val="0"/>
          <w:color w:val="auto"/>
          <w:sz w:val="20"/>
          <w:szCs w:val="20"/>
        </w:rPr>
      </w:pPr>
      <w:r w:rsidRPr="000B1113">
        <w:rPr>
          <w:rStyle w:val="IvDbodytextChar"/>
          <w:rFonts w:eastAsia="Calibri" w:cs="Calibri"/>
          <w:i w:val="0"/>
          <w:iCs/>
          <w:color w:val="auto"/>
          <w:sz w:val="20"/>
          <w:szCs w:val="20"/>
        </w:rPr>
        <w:t xml:space="preserve">Handling of supported feature negotiation between peers in the </w:t>
      </w:r>
      <w:r w:rsidR="00441CE5">
        <w:rPr>
          <w:rStyle w:val="IvDbodytextChar"/>
          <w:rFonts w:eastAsia="Calibri" w:cs="Calibri"/>
          <w:i w:val="0"/>
          <w:iCs/>
          <w:color w:val="auto"/>
          <w:sz w:val="20"/>
          <w:szCs w:val="20"/>
        </w:rPr>
        <w:t xml:space="preserve">described </w:t>
      </w:r>
      <w:r w:rsidRPr="000B1113">
        <w:rPr>
          <w:rStyle w:val="IvDbodytextChar"/>
          <w:rFonts w:eastAsia="Calibri" w:cs="Calibri"/>
          <w:i w:val="0"/>
          <w:iCs/>
          <w:color w:val="auto"/>
          <w:sz w:val="20"/>
          <w:szCs w:val="20"/>
        </w:rPr>
        <w:t xml:space="preserve">scenarios of indirect subscription to notifications via an indirect path cannot be resolved using the mechanism defined in TS 29.500. CT3 has considered using NRF for that purpose. However, current specification of </w:t>
      </w:r>
      <w:proofErr w:type="spellStart"/>
      <w:r w:rsidRPr="000B1113">
        <w:rPr>
          <w:rStyle w:val="IvDbodytextChar"/>
          <w:rFonts w:eastAsia="Calibri" w:cs="Calibri"/>
          <w:i w:val="0"/>
          <w:iCs/>
          <w:color w:val="auto"/>
          <w:sz w:val="20"/>
          <w:szCs w:val="20"/>
        </w:rPr>
        <w:t>Nnrf</w:t>
      </w:r>
      <w:proofErr w:type="spellEnd"/>
      <w:r w:rsidRPr="000B1113">
        <w:rPr>
          <w:rStyle w:val="IvDbodytextChar"/>
          <w:rFonts w:eastAsia="Calibri" w:cs="Calibri"/>
          <w:i w:val="0"/>
          <w:iCs/>
          <w:color w:val="auto"/>
          <w:sz w:val="20"/>
          <w:szCs w:val="20"/>
        </w:rPr>
        <w:t xml:space="preserve"> services does not allow the discovery of the features supported for a specific NF instance when only the Notification URI associated to that instance is known.</w:t>
      </w:r>
    </w:p>
    <w:p w14:paraId="1B14D43B" w14:textId="10422571" w:rsidR="004E3A2A" w:rsidRPr="000B1113" w:rsidRDefault="000B1AB8" w:rsidP="004E3A2A">
      <w:pPr>
        <w:pStyle w:val="IvDInstructiontext"/>
        <w:rPr>
          <w:rStyle w:val="IvDbodytextChar"/>
          <w:rFonts w:cs="Times New Roman"/>
          <w:i w:val="0"/>
          <w:color w:val="auto"/>
          <w:sz w:val="20"/>
          <w:szCs w:val="20"/>
        </w:rPr>
      </w:pPr>
      <w:r w:rsidRPr="000B1113">
        <w:rPr>
          <w:rStyle w:val="IvDbodytextChar"/>
          <w:rFonts w:eastAsia="Calibri" w:cs="Calibri"/>
          <w:i w:val="0"/>
          <w:color w:val="auto"/>
          <w:sz w:val="20"/>
          <w:szCs w:val="20"/>
        </w:rPr>
        <w:lastRenderedPageBreak/>
        <w:t xml:space="preserve">CT3 understands </w:t>
      </w:r>
      <w:r w:rsidR="000B1113" w:rsidRPr="000B1113">
        <w:rPr>
          <w:rStyle w:val="IvDbodytextChar"/>
          <w:rFonts w:eastAsia="Calibri" w:cs="Calibri"/>
          <w:i w:val="0"/>
          <w:color w:val="auto"/>
          <w:sz w:val="20"/>
          <w:szCs w:val="20"/>
        </w:rPr>
        <w:t>that a common solution needs to be provided for the discovery of features supported by NFs that do not have a direct connection</w:t>
      </w:r>
      <w:r w:rsidRPr="000B1113">
        <w:rPr>
          <w:rStyle w:val="IvDbodytextChar"/>
          <w:rFonts w:cs="Times New Roman"/>
          <w:i w:val="0"/>
          <w:color w:val="auto"/>
          <w:sz w:val="20"/>
          <w:szCs w:val="20"/>
        </w:rPr>
        <w:t>.</w:t>
      </w:r>
    </w:p>
    <w:p w14:paraId="1DB8135A" w14:textId="04D8F7AF" w:rsidR="000B1113" w:rsidRPr="000B1113" w:rsidRDefault="000B1113" w:rsidP="000B1113">
      <w:pPr>
        <w:pStyle w:val="IvDInstructiontext"/>
        <w:rPr>
          <w:rStyle w:val="IvDbodytextChar"/>
          <w:rFonts w:eastAsia="Calibri" w:cs="Calibri"/>
          <w:i w:val="0"/>
          <w:color w:val="auto"/>
          <w:sz w:val="20"/>
          <w:szCs w:val="20"/>
        </w:rPr>
      </w:pPr>
      <w:r w:rsidRPr="000B1113">
        <w:rPr>
          <w:rStyle w:val="IvDbodytextChar"/>
          <w:rFonts w:eastAsia="Calibri" w:cs="Calibri"/>
          <w:b/>
          <w:bCs/>
          <w:i w:val="0"/>
          <w:color w:val="auto"/>
          <w:sz w:val="20"/>
          <w:szCs w:val="20"/>
        </w:rPr>
        <w:t>Question 1</w:t>
      </w:r>
      <w:r w:rsidRPr="000B1113">
        <w:rPr>
          <w:rStyle w:val="IvDbodytextChar"/>
          <w:rFonts w:eastAsia="Calibri" w:cs="Calibri"/>
          <w:i w:val="0"/>
          <w:color w:val="auto"/>
          <w:sz w:val="20"/>
          <w:szCs w:val="20"/>
        </w:rPr>
        <w:t>: Is there any specified mechanism considered in CT4 that can resolve the feature negotiation when subscription to notifications occurs via an indirect path</w:t>
      </w:r>
      <w:r w:rsidR="00441CE5">
        <w:rPr>
          <w:rStyle w:val="IvDbodytextChar"/>
          <w:rFonts w:eastAsia="Calibri" w:cs="Calibri"/>
          <w:i w:val="0"/>
          <w:color w:val="auto"/>
          <w:sz w:val="20"/>
          <w:szCs w:val="20"/>
        </w:rPr>
        <w:t xml:space="preserve"> and can address the previously described scenarios</w:t>
      </w:r>
      <w:r w:rsidRPr="000B1113">
        <w:rPr>
          <w:rStyle w:val="IvDbodytextChar"/>
          <w:rFonts w:eastAsia="Calibri" w:cs="Calibri"/>
          <w:i w:val="0"/>
          <w:color w:val="auto"/>
          <w:sz w:val="20"/>
          <w:szCs w:val="20"/>
        </w:rPr>
        <w:t>?</w:t>
      </w:r>
      <w:r w:rsidR="00441CE5">
        <w:rPr>
          <w:rStyle w:val="IvDbodytextChar"/>
          <w:rFonts w:eastAsia="Calibri" w:cs="Calibri"/>
          <w:i w:val="0"/>
          <w:color w:val="auto"/>
          <w:sz w:val="20"/>
          <w:szCs w:val="20"/>
        </w:rPr>
        <w:t xml:space="preserve"> If yes, please refer to the mechanism and explain how it can be used in these scenarios.</w:t>
      </w:r>
    </w:p>
    <w:p w14:paraId="4A670DD2" w14:textId="54A31805" w:rsidR="00C4144C" w:rsidRPr="000B1113" w:rsidRDefault="000B1113" w:rsidP="000B1113">
      <w:pPr>
        <w:pStyle w:val="IvDInstructiontext"/>
        <w:rPr>
          <w:rFonts w:eastAsia="Calibri" w:cs="Calibri"/>
          <w:i w:val="0"/>
          <w:color w:val="auto"/>
          <w:sz w:val="20"/>
          <w:szCs w:val="20"/>
        </w:rPr>
      </w:pPr>
      <w:r w:rsidRPr="000B1113">
        <w:rPr>
          <w:rStyle w:val="IvDbodytextChar"/>
          <w:rFonts w:eastAsia="Calibri" w:cs="Calibri"/>
          <w:b/>
          <w:bCs/>
          <w:i w:val="0"/>
          <w:color w:val="auto"/>
          <w:sz w:val="20"/>
          <w:szCs w:val="20"/>
        </w:rPr>
        <w:t>Question 2</w:t>
      </w:r>
      <w:r w:rsidRPr="000B1113">
        <w:rPr>
          <w:rStyle w:val="IvDbodytextChar"/>
          <w:rFonts w:eastAsia="Calibri" w:cs="Calibri"/>
          <w:i w:val="0"/>
          <w:color w:val="auto"/>
          <w:sz w:val="20"/>
          <w:szCs w:val="20"/>
        </w:rPr>
        <w:t xml:space="preserve">: If not, can CT4 provide feedback on how to resolve this issue and update their specifications </w:t>
      </w:r>
      <w:r>
        <w:rPr>
          <w:rStyle w:val="IvDbodytextChar"/>
          <w:rFonts w:eastAsia="Calibri" w:cs="Calibri"/>
          <w:i w:val="0"/>
          <w:color w:val="auto"/>
          <w:sz w:val="20"/>
          <w:szCs w:val="20"/>
        </w:rPr>
        <w:t>if</w:t>
      </w:r>
      <w:r w:rsidRPr="000B1113">
        <w:rPr>
          <w:rStyle w:val="IvDbodytextChar"/>
          <w:rFonts w:eastAsia="Calibri" w:cs="Calibri"/>
          <w:i w:val="0"/>
          <w:color w:val="auto"/>
          <w:sz w:val="20"/>
          <w:szCs w:val="20"/>
        </w:rPr>
        <w:t xml:space="preserve"> necessary?</w:t>
      </w:r>
    </w:p>
    <w:p w14:paraId="22DC2AD1" w14:textId="77777777" w:rsidR="00C4144C" w:rsidRDefault="00C4144C">
      <w:pPr>
        <w:spacing w:after="120"/>
        <w:rPr>
          <w:rFonts w:ascii="Arial" w:hAnsi="Arial" w:cs="Arial"/>
          <w:b/>
        </w:rPr>
      </w:pPr>
    </w:p>
    <w:p w14:paraId="43039839" w14:textId="4FFD7B11" w:rsidR="00463675" w:rsidRPr="000F4E43" w:rsidRDefault="00463675">
      <w:pPr>
        <w:spacing w:after="120"/>
        <w:rPr>
          <w:rFonts w:ascii="Arial" w:hAnsi="Arial" w:cs="Arial"/>
          <w:b/>
        </w:rPr>
      </w:pPr>
      <w:r w:rsidRPr="000F4E43">
        <w:rPr>
          <w:rFonts w:ascii="Arial" w:hAnsi="Arial" w:cs="Arial"/>
          <w:b/>
        </w:rPr>
        <w:t>2. Actions:</w:t>
      </w:r>
    </w:p>
    <w:p w14:paraId="7BF3A47C" w14:textId="53DC44C3"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E3A2A">
        <w:rPr>
          <w:rFonts w:ascii="Arial" w:hAnsi="Arial" w:cs="Arial"/>
          <w:b/>
        </w:rPr>
        <w:t>CT</w:t>
      </w:r>
      <w:r w:rsidR="00A5405F">
        <w:rPr>
          <w:rFonts w:ascii="Arial" w:hAnsi="Arial" w:cs="Arial"/>
          <w:b/>
        </w:rPr>
        <w:t>4</w:t>
      </w:r>
      <w:r w:rsidR="00CA355E">
        <w:rPr>
          <w:rFonts w:ascii="Arial" w:hAnsi="Arial" w:cs="Arial"/>
          <w:b/>
        </w:rPr>
        <w:t xml:space="preserve"> </w:t>
      </w:r>
      <w:r w:rsidRPr="000F4E43">
        <w:rPr>
          <w:rFonts w:ascii="Arial" w:hAnsi="Arial" w:cs="Arial"/>
          <w:b/>
        </w:rPr>
        <w:t>group.</w:t>
      </w:r>
    </w:p>
    <w:p w14:paraId="3449AB35" w14:textId="1CB3135E" w:rsidR="00463675" w:rsidRDefault="00463675" w:rsidP="00CC3C58">
      <w:pPr>
        <w:spacing w:after="120"/>
        <w:ind w:left="993" w:hanging="993"/>
        <w:rPr>
          <w:rFonts w:ascii="Arial" w:hAnsi="Arial" w:cs="Arial"/>
          <w:iCs/>
        </w:rPr>
      </w:pPr>
      <w:r w:rsidRPr="000F4E43">
        <w:rPr>
          <w:rFonts w:ascii="Arial" w:hAnsi="Arial" w:cs="Arial"/>
          <w:b/>
        </w:rPr>
        <w:t xml:space="preserve">ACTION: </w:t>
      </w:r>
      <w:r w:rsidRPr="000F4E43">
        <w:rPr>
          <w:rFonts w:ascii="Arial" w:hAnsi="Arial" w:cs="Arial"/>
          <w:b/>
        </w:rPr>
        <w:tab/>
      </w:r>
      <w:r w:rsidR="00CC3C58" w:rsidRPr="000B1113">
        <w:rPr>
          <w:rFonts w:ascii="Arial" w:hAnsi="Arial" w:cs="Arial"/>
          <w:sz w:val="20"/>
          <w:szCs w:val="20"/>
        </w:rPr>
        <w:t>CT</w:t>
      </w:r>
      <w:r w:rsidR="00640DE6" w:rsidRPr="000B1113">
        <w:rPr>
          <w:rFonts w:ascii="Arial" w:hAnsi="Arial" w:cs="Arial"/>
          <w:sz w:val="20"/>
          <w:szCs w:val="20"/>
        </w:rPr>
        <w:t>3</w:t>
      </w:r>
      <w:r w:rsidR="00CC3C58" w:rsidRPr="000B1113">
        <w:rPr>
          <w:rFonts w:ascii="Arial" w:hAnsi="Arial" w:cs="Arial"/>
          <w:sz w:val="20"/>
          <w:szCs w:val="20"/>
        </w:rPr>
        <w:t xml:space="preserve"> kindly </w:t>
      </w:r>
      <w:r w:rsidR="00CA355E" w:rsidRPr="000B1113">
        <w:rPr>
          <w:rFonts w:ascii="Arial" w:hAnsi="Arial" w:cs="Arial"/>
          <w:sz w:val="20"/>
          <w:szCs w:val="20"/>
        </w:rPr>
        <w:t>ask</w:t>
      </w:r>
      <w:r w:rsidR="00D53D5D" w:rsidRPr="000B1113">
        <w:rPr>
          <w:rFonts w:ascii="Arial" w:hAnsi="Arial" w:cs="Arial"/>
          <w:sz w:val="20"/>
          <w:szCs w:val="20"/>
        </w:rPr>
        <w:t>s</w:t>
      </w:r>
      <w:r w:rsidR="00CA355E" w:rsidRPr="000B1113">
        <w:rPr>
          <w:rFonts w:ascii="Arial" w:hAnsi="Arial" w:cs="Arial"/>
          <w:sz w:val="20"/>
          <w:szCs w:val="20"/>
        </w:rPr>
        <w:t xml:space="preserve"> </w:t>
      </w:r>
      <w:r w:rsidR="004E3A2A" w:rsidRPr="000B1113">
        <w:rPr>
          <w:rFonts w:ascii="Arial" w:hAnsi="Arial" w:cs="Arial"/>
          <w:sz w:val="20"/>
          <w:szCs w:val="20"/>
        </w:rPr>
        <w:t>CT4</w:t>
      </w:r>
      <w:r w:rsidR="00CA355E" w:rsidRPr="000B1113">
        <w:rPr>
          <w:rFonts w:ascii="Arial" w:hAnsi="Arial" w:cs="Arial"/>
          <w:sz w:val="20"/>
          <w:szCs w:val="20"/>
        </w:rPr>
        <w:t xml:space="preserve"> </w:t>
      </w:r>
      <w:r w:rsidR="00D53D5D" w:rsidRPr="000B1113">
        <w:rPr>
          <w:rFonts w:ascii="Arial" w:hAnsi="Arial" w:cs="Arial"/>
          <w:sz w:val="20"/>
          <w:szCs w:val="20"/>
        </w:rPr>
        <w:t xml:space="preserve">to </w:t>
      </w:r>
      <w:r w:rsidR="000B1113" w:rsidRPr="000B1113">
        <w:rPr>
          <w:rFonts w:ascii="Arial" w:hAnsi="Arial" w:cs="Arial"/>
          <w:sz w:val="20"/>
          <w:szCs w:val="20"/>
        </w:rPr>
        <w:t>respond the questions above.</w:t>
      </w:r>
    </w:p>
    <w:p w14:paraId="0939DFD5" w14:textId="77777777" w:rsidR="00463675" w:rsidRPr="000F4E43" w:rsidRDefault="00463675">
      <w:pPr>
        <w:spacing w:after="120"/>
        <w:ind w:left="993" w:hanging="993"/>
        <w:rPr>
          <w:rFonts w:ascii="Arial" w:hAnsi="Arial" w:cs="Arial"/>
        </w:rPr>
      </w:pPr>
    </w:p>
    <w:p w14:paraId="0C4C9E1D" w14:textId="39F8395A"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C118F9">
        <w:rPr>
          <w:rFonts w:ascii="Arial" w:hAnsi="Arial" w:cs="Arial"/>
          <w:b/>
        </w:rPr>
        <w:t>3</w:t>
      </w:r>
      <w:r w:rsidRPr="000F4E43">
        <w:rPr>
          <w:rFonts w:ascii="Arial" w:hAnsi="Arial" w:cs="Arial"/>
          <w:b/>
        </w:rPr>
        <w:t xml:space="preserve"> Meetings:</w:t>
      </w:r>
    </w:p>
    <w:p w14:paraId="1E0DAB12" w14:textId="0711A7AC" w:rsidR="00A7348D" w:rsidRDefault="00E95737">
      <w:pPr>
        <w:tabs>
          <w:tab w:val="left" w:pos="5103"/>
        </w:tabs>
        <w:spacing w:after="120"/>
        <w:ind w:left="2268" w:hanging="2268"/>
        <w:rPr>
          <w:rFonts w:ascii="Arial" w:eastAsia="DengXian" w:hAnsi="Arial" w:cs="Arial"/>
          <w:bCs/>
          <w:sz w:val="20"/>
          <w:szCs w:val="20"/>
          <w:lang w:val="en-GB" w:eastAsia="en-US"/>
        </w:rPr>
      </w:pPr>
      <w:r w:rsidRPr="00E95737">
        <w:rPr>
          <w:rFonts w:ascii="Arial" w:eastAsia="DengXian" w:hAnsi="Arial" w:cs="Arial"/>
          <w:bCs/>
          <w:sz w:val="20"/>
          <w:szCs w:val="20"/>
          <w:lang w:val="en-GB" w:eastAsia="en-US"/>
        </w:rPr>
        <w:t>3GPP TSG CT3#12</w:t>
      </w:r>
      <w:r w:rsidR="00061414">
        <w:rPr>
          <w:rFonts w:ascii="Arial" w:eastAsia="DengXian" w:hAnsi="Arial" w:cs="Arial"/>
          <w:bCs/>
          <w:sz w:val="20"/>
          <w:szCs w:val="20"/>
          <w:lang w:val="en-GB" w:eastAsia="en-US"/>
        </w:rPr>
        <w:t>4</w:t>
      </w:r>
      <w:r>
        <w:rPr>
          <w:rFonts w:ascii="Arial" w:eastAsia="DengXian" w:hAnsi="Arial" w:cs="Arial"/>
          <w:bCs/>
          <w:sz w:val="20"/>
          <w:szCs w:val="20"/>
          <w:lang w:val="en-GB" w:eastAsia="en-US"/>
        </w:rPr>
        <w:t>e</w:t>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00061414">
        <w:rPr>
          <w:rFonts w:ascii="Arial" w:eastAsia="DengXian" w:hAnsi="Arial" w:cs="Arial"/>
          <w:bCs/>
          <w:sz w:val="20"/>
          <w:szCs w:val="20"/>
          <w:lang w:val="en-GB" w:eastAsia="en-US"/>
        </w:rPr>
        <w:t>10</w:t>
      </w:r>
      <w:r w:rsidRPr="00E95737">
        <w:rPr>
          <w:rFonts w:ascii="Arial" w:eastAsia="DengXian" w:hAnsi="Arial" w:cs="Arial"/>
          <w:bCs/>
          <w:sz w:val="20"/>
          <w:szCs w:val="20"/>
          <w:lang w:val="en-GB" w:eastAsia="en-US"/>
        </w:rPr>
        <w:t>/2022</w:t>
      </w:r>
      <w:r w:rsidRPr="00E95737">
        <w:rPr>
          <w:rFonts w:ascii="Arial" w:eastAsia="DengXian" w:hAnsi="Arial" w:cs="Arial"/>
          <w:bCs/>
          <w:sz w:val="20"/>
          <w:szCs w:val="20"/>
          <w:lang w:val="en-GB" w:eastAsia="en-US"/>
        </w:rPr>
        <w:tab/>
      </w:r>
      <w:r>
        <w:rPr>
          <w:rFonts w:ascii="Arial" w:eastAsia="DengXian" w:hAnsi="Arial" w:cs="Arial"/>
          <w:bCs/>
          <w:sz w:val="20"/>
          <w:szCs w:val="20"/>
          <w:lang w:val="en-GB" w:eastAsia="en-US"/>
        </w:rPr>
        <w:t>E-Meeting</w:t>
      </w:r>
    </w:p>
    <w:p w14:paraId="4B5A3598" w14:textId="6FA973A8" w:rsidR="004E3A2A" w:rsidRPr="003C3D6E" w:rsidRDefault="004E3A2A">
      <w:pPr>
        <w:tabs>
          <w:tab w:val="left" w:pos="5103"/>
        </w:tabs>
        <w:spacing w:after="120"/>
        <w:ind w:left="2268" w:hanging="2268"/>
        <w:rPr>
          <w:rFonts w:ascii="Arial" w:hAnsi="Arial" w:cs="Arial"/>
          <w:bCs/>
        </w:rPr>
      </w:pPr>
      <w:r>
        <w:rPr>
          <w:rFonts w:ascii="Arial" w:eastAsia="DengXian" w:hAnsi="Arial" w:cs="Arial"/>
          <w:bCs/>
          <w:sz w:val="20"/>
          <w:szCs w:val="20"/>
          <w:lang w:val="en-GB" w:eastAsia="en-US"/>
        </w:rPr>
        <w:t>3GPP TSG CT3#125</w:t>
      </w:r>
      <w:r>
        <w:rPr>
          <w:rFonts w:ascii="Arial" w:eastAsia="DengXian" w:hAnsi="Arial" w:cs="Arial"/>
          <w:bCs/>
          <w:sz w:val="20"/>
          <w:szCs w:val="20"/>
          <w:lang w:val="en-GB" w:eastAsia="en-US"/>
        </w:rPr>
        <w:tab/>
      </w:r>
      <w:r>
        <w:rPr>
          <w:rFonts w:ascii="Arial" w:eastAsia="DengXian" w:hAnsi="Arial" w:cs="Arial"/>
          <w:bCs/>
          <w:sz w:val="20"/>
          <w:szCs w:val="20"/>
          <w:lang w:val="en-GB" w:eastAsia="en-US"/>
        </w:rPr>
        <w:tab/>
      </w:r>
      <w:r>
        <w:rPr>
          <w:rFonts w:ascii="Arial" w:eastAsia="DengXian" w:hAnsi="Arial" w:cs="Arial"/>
          <w:bCs/>
          <w:sz w:val="20"/>
          <w:szCs w:val="20"/>
          <w:lang w:val="en-GB" w:eastAsia="en-US"/>
        </w:rPr>
        <w:tab/>
        <w:t>11/2022</w:t>
      </w:r>
      <w:r>
        <w:rPr>
          <w:rFonts w:ascii="Arial" w:eastAsia="DengXian" w:hAnsi="Arial" w:cs="Arial"/>
          <w:bCs/>
          <w:sz w:val="20"/>
          <w:szCs w:val="20"/>
          <w:lang w:val="en-GB" w:eastAsia="en-US"/>
        </w:rPr>
        <w:tab/>
        <w:t>(TBC)</w:t>
      </w:r>
    </w:p>
    <w:sectPr w:rsidR="004E3A2A"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F56E8" w14:textId="77777777" w:rsidR="00616EF2" w:rsidRDefault="00616EF2">
      <w:r>
        <w:separator/>
      </w:r>
    </w:p>
  </w:endnote>
  <w:endnote w:type="continuationSeparator" w:id="0">
    <w:p w14:paraId="42F65ECC" w14:textId="77777777" w:rsidR="00616EF2" w:rsidRDefault="00616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23F0F" w14:textId="77777777" w:rsidR="00616EF2" w:rsidRDefault="00616EF2">
      <w:r>
        <w:separator/>
      </w:r>
    </w:p>
  </w:footnote>
  <w:footnote w:type="continuationSeparator" w:id="0">
    <w:p w14:paraId="1ED13327" w14:textId="77777777" w:rsidR="00616EF2" w:rsidRDefault="00616E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35F2849"/>
    <w:multiLevelType w:val="hybridMultilevel"/>
    <w:tmpl w:val="3D88F216"/>
    <w:lvl w:ilvl="0" w:tplc="13FABDEA">
      <w:start w:val="4"/>
      <w:numFmt w:val="bullet"/>
      <w:lvlText w:val="-"/>
      <w:lvlJc w:val="left"/>
      <w:pPr>
        <w:ind w:left="720" w:hanging="360"/>
      </w:pPr>
      <w:rPr>
        <w:rFonts w:ascii="Arial" w:eastAsia="Calibri" w:hAnsi="Arial" w:cs="Arial" w:hint="default"/>
        <w:sz w:val="20"/>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4988323">
    <w:abstractNumId w:val="15"/>
  </w:num>
  <w:num w:numId="2" w16cid:durableId="580064975">
    <w:abstractNumId w:val="13"/>
  </w:num>
  <w:num w:numId="3" w16cid:durableId="945620029">
    <w:abstractNumId w:val="11"/>
  </w:num>
  <w:num w:numId="4" w16cid:durableId="77408191">
    <w:abstractNumId w:val="10"/>
  </w:num>
  <w:num w:numId="5" w16cid:durableId="418139253">
    <w:abstractNumId w:val="9"/>
  </w:num>
  <w:num w:numId="6" w16cid:durableId="46927268">
    <w:abstractNumId w:val="7"/>
  </w:num>
  <w:num w:numId="7" w16cid:durableId="2022506650">
    <w:abstractNumId w:val="6"/>
  </w:num>
  <w:num w:numId="8" w16cid:durableId="710569559">
    <w:abstractNumId w:val="5"/>
  </w:num>
  <w:num w:numId="9" w16cid:durableId="886144643">
    <w:abstractNumId w:val="4"/>
  </w:num>
  <w:num w:numId="10" w16cid:durableId="1208565392">
    <w:abstractNumId w:val="8"/>
  </w:num>
  <w:num w:numId="11" w16cid:durableId="1289891758">
    <w:abstractNumId w:val="3"/>
  </w:num>
  <w:num w:numId="12" w16cid:durableId="927076667">
    <w:abstractNumId w:val="2"/>
  </w:num>
  <w:num w:numId="13" w16cid:durableId="1063069113">
    <w:abstractNumId w:val="1"/>
  </w:num>
  <w:num w:numId="14" w16cid:durableId="444345957">
    <w:abstractNumId w:val="0"/>
  </w:num>
  <w:num w:numId="15" w16cid:durableId="1412433735">
    <w:abstractNumId w:val="14"/>
  </w:num>
  <w:num w:numId="16" w16cid:durableId="705982923">
    <w:abstractNumId w:val="17"/>
  </w:num>
  <w:num w:numId="17" w16cid:durableId="843055870">
    <w:abstractNumId w:val="16"/>
  </w:num>
  <w:num w:numId="18" w16cid:durableId="650449178">
    <w:abstractNumId w:val="18"/>
  </w:num>
  <w:num w:numId="19" w16cid:durableId="378288186">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28E8"/>
    <w:rsid w:val="00027ACA"/>
    <w:rsid w:val="00040EE4"/>
    <w:rsid w:val="0005627F"/>
    <w:rsid w:val="00061414"/>
    <w:rsid w:val="00061460"/>
    <w:rsid w:val="0006389E"/>
    <w:rsid w:val="00063A8A"/>
    <w:rsid w:val="00082385"/>
    <w:rsid w:val="000911C6"/>
    <w:rsid w:val="000A39BA"/>
    <w:rsid w:val="000A6643"/>
    <w:rsid w:val="000B1113"/>
    <w:rsid w:val="000B1AA1"/>
    <w:rsid w:val="000B1AB8"/>
    <w:rsid w:val="000B435C"/>
    <w:rsid w:val="000C7929"/>
    <w:rsid w:val="000E328D"/>
    <w:rsid w:val="000E7673"/>
    <w:rsid w:val="000F13B7"/>
    <w:rsid w:val="000F4E43"/>
    <w:rsid w:val="000F6ECE"/>
    <w:rsid w:val="00105899"/>
    <w:rsid w:val="00116DF9"/>
    <w:rsid w:val="00121508"/>
    <w:rsid w:val="001307EB"/>
    <w:rsid w:val="00130A46"/>
    <w:rsid w:val="0014163F"/>
    <w:rsid w:val="001608BF"/>
    <w:rsid w:val="00160A0F"/>
    <w:rsid w:val="001734EB"/>
    <w:rsid w:val="00174F8E"/>
    <w:rsid w:val="001A4AF7"/>
    <w:rsid w:val="001B20CE"/>
    <w:rsid w:val="001B55AC"/>
    <w:rsid w:val="001D21FD"/>
    <w:rsid w:val="001D7ECD"/>
    <w:rsid w:val="001E2986"/>
    <w:rsid w:val="001E6D40"/>
    <w:rsid w:val="00217F0E"/>
    <w:rsid w:val="00227CC8"/>
    <w:rsid w:val="00236EEE"/>
    <w:rsid w:val="00274BF9"/>
    <w:rsid w:val="00282D00"/>
    <w:rsid w:val="00290E5A"/>
    <w:rsid w:val="0029449B"/>
    <w:rsid w:val="002A7E07"/>
    <w:rsid w:val="002C120C"/>
    <w:rsid w:val="002D25CC"/>
    <w:rsid w:val="00306209"/>
    <w:rsid w:val="003201C2"/>
    <w:rsid w:val="00324107"/>
    <w:rsid w:val="00326B06"/>
    <w:rsid w:val="003300E2"/>
    <w:rsid w:val="00337532"/>
    <w:rsid w:val="00342CF0"/>
    <w:rsid w:val="00347947"/>
    <w:rsid w:val="00353847"/>
    <w:rsid w:val="00360F5D"/>
    <w:rsid w:val="003663C4"/>
    <w:rsid w:val="00367678"/>
    <w:rsid w:val="00387CCA"/>
    <w:rsid w:val="003901E1"/>
    <w:rsid w:val="00394C25"/>
    <w:rsid w:val="003A0CC7"/>
    <w:rsid w:val="003C06EB"/>
    <w:rsid w:val="003C3D6E"/>
    <w:rsid w:val="00401229"/>
    <w:rsid w:val="004055D4"/>
    <w:rsid w:val="00416C83"/>
    <w:rsid w:val="004175B7"/>
    <w:rsid w:val="004234FF"/>
    <w:rsid w:val="00426D35"/>
    <w:rsid w:val="00431E1C"/>
    <w:rsid w:val="004351EA"/>
    <w:rsid w:val="00441CE5"/>
    <w:rsid w:val="0044489D"/>
    <w:rsid w:val="00445241"/>
    <w:rsid w:val="00452442"/>
    <w:rsid w:val="00463675"/>
    <w:rsid w:val="0047349B"/>
    <w:rsid w:val="004750FF"/>
    <w:rsid w:val="004803F3"/>
    <w:rsid w:val="00484D53"/>
    <w:rsid w:val="00493DB9"/>
    <w:rsid w:val="004A689C"/>
    <w:rsid w:val="004B1509"/>
    <w:rsid w:val="004B3D12"/>
    <w:rsid w:val="004B43FA"/>
    <w:rsid w:val="004C3F5A"/>
    <w:rsid w:val="004C4DCF"/>
    <w:rsid w:val="004D2E9D"/>
    <w:rsid w:val="004E3A2A"/>
    <w:rsid w:val="005008EB"/>
    <w:rsid w:val="00507006"/>
    <w:rsid w:val="00515A7E"/>
    <w:rsid w:val="00543D17"/>
    <w:rsid w:val="005444CF"/>
    <w:rsid w:val="00545D79"/>
    <w:rsid w:val="0055523C"/>
    <w:rsid w:val="0055638C"/>
    <w:rsid w:val="00566B80"/>
    <w:rsid w:val="00584B08"/>
    <w:rsid w:val="00587079"/>
    <w:rsid w:val="005B211A"/>
    <w:rsid w:val="005C3478"/>
    <w:rsid w:val="00601F1B"/>
    <w:rsid w:val="0060528D"/>
    <w:rsid w:val="0061062F"/>
    <w:rsid w:val="00616EF2"/>
    <w:rsid w:val="00624F4D"/>
    <w:rsid w:val="00636566"/>
    <w:rsid w:val="0064019D"/>
    <w:rsid w:val="00640DE6"/>
    <w:rsid w:val="00643621"/>
    <w:rsid w:val="00643A2E"/>
    <w:rsid w:val="00654758"/>
    <w:rsid w:val="00655BAC"/>
    <w:rsid w:val="006666AD"/>
    <w:rsid w:val="00672B1A"/>
    <w:rsid w:val="00675BAC"/>
    <w:rsid w:val="00687152"/>
    <w:rsid w:val="00687A0B"/>
    <w:rsid w:val="00697B8D"/>
    <w:rsid w:val="006C3E54"/>
    <w:rsid w:val="006C4C5D"/>
    <w:rsid w:val="006C7D0C"/>
    <w:rsid w:val="006D0B09"/>
    <w:rsid w:val="006E17C7"/>
    <w:rsid w:val="006F4876"/>
    <w:rsid w:val="006F60FD"/>
    <w:rsid w:val="007032C5"/>
    <w:rsid w:val="007116E4"/>
    <w:rsid w:val="00713D6D"/>
    <w:rsid w:val="00726FC3"/>
    <w:rsid w:val="0073219F"/>
    <w:rsid w:val="00745AE4"/>
    <w:rsid w:val="00747654"/>
    <w:rsid w:val="0077485D"/>
    <w:rsid w:val="007A59F5"/>
    <w:rsid w:val="007B7F02"/>
    <w:rsid w:val="007E745E"/>
    <w:rsid w:val="00824456"/>
    <w:rsid w:val="00835827"/>
    <w:rsid w:val="00885057"/>
    <w:rsid w:val="00893269"/>
    <w:rsid w:val="0089666F"/>
    <w:rsid w:val="008A365C"/>
    <w:rsid w:val="008B5885"/>
    <w:rsid w:val="008C5DB7"/>
    <w:rsid w:val="008F442E"/>
    <w:rsid w:val="008F5883"/>
    <w:rsid w:val="0090241A"/>
    <w:rsid w:val="009231E0"/>
    <w:rsid w:val="00923E7C"/>
    <w:rsid w:val="00923F23"/>
    <w:rsid w:val="0092644D"/>
    <w:rsid w:val="00933533"/>
    <w:rsid w:val="00947245"/>
    <w:rsid w:val="00954C57"/>
    <w:rsid w:val="00973EEB"/>
    <w:rsid w:val="00976179"/>
    <w:rsid w:val="00976E4A"/>
    <w:rsid w:val="009B41C1"/>
    <w:rsid w:val="009B715E"/>
    <w:rsid w:val="009C0C06"/>
    <w:rsid w:val="009D10D7"/>
    <w:rsid w:val="009E0CA3"/>
    <w:rsid w:val="009E5DC5"/>
    <w:rsid w:val="009F6E85"/>
    <w:rsid w:val="009F72C8"/>
    <w:rsid w:val="00A154EE"/>
    <w:rsid w:val="00A2176C"/>
    <w:rsid w:val="00A21FAE"/>
    <w:rsid w:val="00A3548D"/>
    <w:rsid w:val="00A5405F"/>
    <w:rsid w:val="00A67936"/>
    <w:rsid w:val="00A7348D"/>
    <w:rsid w:val="00A877B6"/>
    <w:rsid w:val="00AD51BB"/>
    <w:rsid w:val="00AE489C"/>
    <w:rsid w:val="00B00371"/>
    <w:rsid w:val="00B144F4"/>
    <w:rsid w:val="00B17D32"/>
    <w:rsid w:val="00B20701"/>
    <w:rsid w:val="00B235CC"/>
    <w:rsid w:val="00B24866"/>
    <w:rsid w:val="00B302FF"/>
    <w:rsid w:val="00B41CFD"/>
    <w:rsid w:val="00B63CCC"/>
    <w:rsid w:val="00B719CF"/>
    <w:rsid w:val="00B8283F"/>
    <w:rsid w:val="00B85F0B"/>
    <w:rsid w:val="00B94383"/>
    <w:rsid w:val="00BC27B6"/>
    <w:rsid w:val="00BC5FF1"/>
    <w:rsid w:val="00BD7BD8"/>
    <w:rsid w:val="00BE3F37"/>
    <w:rsid w:val="00BF558E"/>
    <w:rsid w:val="00BF7EE2"/>
    <w:rsid w:val="00C118F9"/>
    <w:rsid w:val="00C165D1"/>
    <w:rsid w:val="00C21B99"/>
    <w:rsid w:val="00C2692E"/>
    <w:rsid w:val="00C32132"/>
    <w:rsid w:val="00C4144C"/>
    <w:rsid w:val="00C5051B"/>
    <w:rsid w:val="00C6618A"/>
    <w:rsid w:val="00C6700A"/>
    <w:rsid w:val="00C91A97"/>
    <w:rsid w:val="00C975A6"/>
    <w:rsid w:val="00CA0F2E"/>
    <w:rsid w:val="00CA2FB0"/>
    <w:rsid w:val="00CA355E"/>
    <w:rsid w:val="00CB5F7C"/>
    <w:rsid w:val="00CC3C58"/>
    <w:rsid w:val="00CD1F8A"/>
    <w:rsid w:val="00CE7E03"/>
    <w:rsid w:val="00D1186A"/>
    <w:rsid w:val="00D23976"/>
    <w:rsid w:val="00D37B13"/>
    <w:rsid w:val="00D53018"/>
    <w:rsid w:val="00D53D5D"/>
    <w:rsid w:val="00D676CD"/>
    <w:rsid w:val="00D75412"/>
    <w:rsid w:val="00D84420"/>
    <w:rsid w:val="00D90BFE"/>
    <w:rsid w:val="00D910A4"/>
    <w:rsid w:val="00D96584"/>
    <w:rsid w:val="00D97B4F"/>
    <w:rsid w:val="00DF28C7"/>
    <w:rsid w:val="00E16BBB"/>
    <w:rsid w:val="00E20604"/>
    <w:rsid w:val="00E41401"/>
    <w:rsid w:val="00E4207B"/>
    <w:rsid w:val="00E55374"/>
    <w:rsid w:val="00E63A52"/>
    <w:rsid w:val="00E641C7"/>
    <w:rsid w:val="00E72B30"/>
    <w:rsid w:val="00E74B9D"/>
    <w:rsid w:val="00E76827"/>
    <w:rsid w:val="00E909C8"/>
    <w:rsid w:val="00E92284"/>
    <w:rsid w:val="00E95737"/>
    <w:rsid w:val="00EA19B5"/>
    <w:rsid w:val="00EA640A"/>
    <w:rsid w:val="00EA68B1"/>
    <w:rsid w:val="00EB6231"/>
    <w:rsid w:val="00F0649B"/>
    <w:rsid w:val="00F07446"/>
    <w:rsid w:val="00F12248"/>
    <w:rsid w:val="00F16C83"/>
    <w:rsid w:val="00F170C6"/>
    <w:rsid w:val="00F20CD7"/>
    <w:rsid w:val="00F232EC"/>
    <w:rsid w:val="00F3331D"/>
    <w:rsid w:val="00F564F6"/>
    <w:rsid w:val="00F81829"/>
    <w:rsid w:val="00F8403F"/>
    <w:rsid w:val="00F9363A"/>
    <w:rsid w:val="00F961A1"/>
    <w:rsid w:val="00F97AD6"/>
    <w:rsid w:val="00FA4A4F"/>
    <w:rsid w:val="00FC2668"/>
    <w:rsid w:val="00FC3BE4"/>
    <w:rsid w:val="00FD36F8"/>
    <w:rsid w:val="00FD4657"/>
    <w:rsid w:val="00FD72E3"/>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 w:type="character" w:customStyle="1" w:styleId="B2Char">
    <w:name w:val="B2 Char"/>
    <w:link w:val="B2"/>
    <w:qFormat/>
    <w:locked/>
    <w:rsid w:val="004E3A2A"/>
    <w:rPr>
      <w:color w:val="000000"/>
      <w:lang w:val="en-GB" w:eastAsia="ja-JP"/>
    </w:rPr>
  </w:style>
  <w:style w:type="paragraph" w:customStyle="1" w:styleId="B2">
    <w:name w:val="B2"/>
    <w:basedOn w:val="Normal"/>
    <w:link w:val="B2Char"/>
    <w:qFormat/>
    <w:rsid w:val="004E3A2A"/>
    <w:pPr>
      <w:overflowPunct w:val="0"/>
      <w:autoSpaceDE w:val="0"/>
      <w:autoSpaceDN w:val="0"/>
      <w:adjustRightInd w:val="0"/>
      <w:spacing w:after="180"/>
      <w:ind w:left="851" w:hanging="284"/>
    </w:pPr>
    <w:rPr>
      <w:rFonts w:ascii="Times New Roman" w:eastAsia="DengXian" w:hAnsi="Times New Roman" w:cs="Times New Roman"/>
      <w:color w:val="000000"/>
      <w:sz w:val="20"/>
      <w:szCs w:val="20"/>
      <w:lang w:val="en-GB" w:eastAsia="ja-JP"/>
    </w:rPr>
  </w:style>
  <w:style w:type="character" w:customStyle="1" w:styleId="IvDInstructiontextChar">
    <w:name w:val="IvD Instructiontext Char"/>
    <w:link w:val="IvDInstructiontext"/>
    <w:uiPriority w:val="99"/>
    <w:locked/>
    <w:rsid w:val="004E3A2A"/>
    <w:rPr>
      <w:rFonts w:ascii="Arial"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4E3A2A"/>
    <w:pPr>
      <w:keepLines/>
      <w:tabs>
        <w:tab w:val="left" w:pos="2552"/>
        <w:tab w:val="left" w:pos="3856"/>
        <w:tab w:val="left" w:pos="5216"/>
        <w:tab w:val="left" w:pos="6464"/>
        <w:tab w:val="left" w:pos="7768"/>
        <w:tab w:val="left" w:pos="9072"/>
        <w:tab w:val="left" w:pos="9639"/>
      </w:tabs>
      <w:spacing w:before="240"/>
    </w:pPr>
    <w:rPr>
      <w:i/>
      <w:color w:val="7F7F7F"/>
      <w:spacing w:val="2"/>
      <w:sz w:val="18"/>
      <w:szCs w:val="18"/>
      <w:lang w:val="en-US"/>
    </w:rPr>
  </w:style>
  <w:style w:type="character" w:customStyle="1" w:styleId="IvDbodytextChar">
    <w:name w:val="IvD bodytext Char"/>
    <w:link w:val="IvDbodytext"/>
    <w:locked/>
    <w:rsid w:val="004E3A2A"/>
    <w:rPr>
      <w:rFonts w:ascii="Arial" w:hAnsi="Arial" w:cs="Arial"/>
      <w:spacing w:val="2"/>
      <w:lang w:eastAsia="en-US"/>
    </w:rPr>
  </w:style>
  <w:style w:type="paragraph" w:customStyle="1" w:styleId="IvDbodytext">
    <w:name w:val="IvD bodytext"/>
    <w:basedOn w:val="BodyText"/>
    <w:link w:val="IvDbodytextChar"/>
    <w:qFormat/>
    <w:rsid w:val="004E3A2A"/>
    <w:pPr>
      <w:keepLines/>
      <w:tabs>
        <w:tab w:val="left" w:pos="2552"/>
        <w:tab w:val="left" w:pos="3856"/>
        <w:tab w:val="left" w:pos="5216"/>
        <w:tab w:val="left" w:pos="6464"/>
        <w:tab w:val="left" w:pos="7768"/>
        <w:tab w:val="left" w:pos="9072"/>
        <w:tab w:val="left" w:pos="9639"/>
      </w:tabs>
      <w:spacing w:before="240"/>
    </w:pPr>
    <w:rPr>
      <w:color w:val="auto"/>
      <w:spacing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82195509">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510</Words>
  <Characters>2912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3416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CR3232</cp:lastModifiedBy>
  <cp:revision>4</cp:revision>
  <cp:lastPrinted>2002-04-23T07:10:00Z</cp:lastPrinted>
  <dcterms:created xsi:type="dcterms:W3CDTF">2022-08-22T06:16:00Z</dcterms:created>
  <dcterms:modified xsi:type="dcterms:W3CDTF">2022-08-22T14:52:00Z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